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color="016b5d" w:space="0" w:sz="8" w:val="single"/>
          <w:left w:color="000000" w:space="0" w:sz="0" w:val="none"/>
          <w:bottom w:color="000000" w:space="1" w:sz="0" w:val="none"/>
          <w:right w:color="000000" w:space="0" w:sz="0" w:val="none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Fira Sans" w:cs="Fira Sans" w:eastAsia="Fira Sans" w:hAnsi="Fira Sans"/>
          <w:b w:val="1"/>
          <w:i w:val="0"/>
          <w:smallCaps w:val="1"/>
          <w:strike w:val="0"/>
          <w:color w:val="016b5d"/>
          <w:sz w:val="46"/>
          <w:szCs w:val="46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016b5d"/>
          <w:sz w:val="46"/>
          <w:szCs w:val="46"/>
          <w:u w:val="none"/>
          <w:shd w:fill="auto" w:val="clear"/>
          <w:vertAlign w:val="baseline"/>
          <w:rtl w:val="0"/>
        </w:rPr>
        <w:t xml:space="preserve">Benjamin Evans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16b5d" w:space="0" w:sz="8" w:val="single"/>
          <w:right w:color="000000" w:space="0" w:sz="0" w:val="none"/>
          <w:between w:space="0" w:sz="0" w:val="nil"/>
        </w:pBdr>
        <w:shd w:fill="auto" w:val="clear"/>
        <w:spacing w:after="10" w:before="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16b5d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16b5d"/>
          <w:sz w:val="2"/>
          <w:szCs w:val="2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16b5d" w:space="0" w:sz="24" w:val="singl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16b5d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16b5d"/>
          <w:sz w:val="2"/>
          <w:szCs w:val="2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"/>
          <w:szCs w:val="2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5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</w:pBdr>
        <w:spacing w:before="120" w:lineRule="auto"/>
        <w:ind w:left="0" w:right="0" w:firstLine="0"/>
        <w:jc w:val="center"/>
        <w:rPr>
          <w:rFonts w:ascii="Fira Sans" w:cs="Fira Sans" w:eastAsia="Fira Sans" w:hAnsi="Fira Sans"/>
          <w:sz w:val="20"/>
          <w:szCs w:val="20"/>
        </w:rPr>
      </w:pPr>
      <w:r w:rsidDel="00000000" w:rsidR="00000000" w:rsidRPr="00000000">
        <w:rPr>
          <w:rFonts w:ascii="Fira Sans" w:cs="Fira Sans" w:eastAsia="Fira Sans" w:hAnsi="Fira Sans"/>
          <w:sz w:val="20"/>
          <w:szCs w:val="20"/>
          <w:rtl w:val="0"/>
        </w:rPr>
        <w:t xml:space="preserve"> </w:t>
      </w:r>
      <w:r w:rsidDel="00000000" w:rsidR="00000000" w:rsidRPr="00000000">
        <w:rPr>
          <w:rFonts w:ascii="Fira Sans" w:cs="Fira Sans" w:eastAsia="Fira Sans" w:hAnsi="Fira Sans"/>
          <w:sz w:val="20"/>
          <w:szCs w:val="20"/>
          <w:vertAlign w:val="baseline"/>
          <w:rtl w:val="0"/>
        </w:rPr>
        <w:t xml:space="preserve">Atlanta, GA 30341</w:t>
      </w:r>
      <w:r w:rsidDel="00000000" w:rsidR="00000000" w:rsidRPr="00000000">
        <w:rPr>
          <w:rFonts w:ascii="Fira Sans" w:cs="Fira Sans" w:eastAsia="Fira Sans" w:hAnsi="Fira Sans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Fira Sans" w:cs="Fira Sans" w:eastAsia="Fira Sans" w:hAnsi="Fira Sans"/>
          <w:sz w:val="20"/>
          <w:szCs w:val="20"/>
          <w:vertAlign w:val="baseline"/>
          <w:rtl w:val="0"/>
        </w:rPr>
        <w:t xml:space="preserve"> </w:t>
      </w:r>
      <w:r w:rsidDel="00000000" w:rsidR="00000000" w:rsidRPr="00000000">
        <w:rPr>
          <w:rFonts w:ascii="Arial Unicode MS" w:cs="Arial Unicode MS" w:eastAsia="Arial Unicode MS" w:hAnsi="Arial Unicode MS"/>
          <w:sz w:val="20"/>
          <w:szCs w:val="20"/>
          <w:vertAlign w:val="baseline"/>
          <w:rtl w:val="0"/>
        </w:rPr>
        <w:t xml:space="preserve">♦</w:t>
      </w:r>
      <w:r w:rsidDel="00000000" w:rsidR="00000000" w:rsidRPr="00000000">
        <w:rPr>
          <w:rFonts w:ascii="Fira Sans" w:cs="Fira Sans" w:eastAsia="Fira Sans" w:hAnsi="Fira Sans"/>
          <w:sz w:val="20"/>
          <w:szCs w:val="20"/>
          <w:vertAlign w:val="baseline"/>
          <w:rtl w:val="0"/>
        </w:rPr>
        <w:t xml:space="preserve"> </w:t>
      </w:r>
      <w:r w:rsidDel="00000000" w:rsidR="00000000" w:rsidRPr="00000000">
        <w:rPr>
          <w:rFonts w:ascii="Fira Sans" w:cs="Fira Sans" w:eastAsia="Fira Sans" w:hAnsi="Fira Sans"/>
          <w:sz w:val="20"/>
          <w:szCs w:val="20"/>
          <w:rtl w:val="0"/>
        </w:rPr>
        <w:t xml:space="preserve"> </w:t>
      </w:r>
      <w:r w:rsidDel="00000000" w:rsidR="00000000" w:rsidRPr="00000000">
        <w:rPr>
          <w:rFonts w:ascii="Fira Sans" w:cs="Fira Sans" w:eastAsia="Fira Sans" w:hAnsi="Fira Sans"/>
          <w:sz w:val="20"/>
          <w:szCs w:val="20"/>
          <w:vertAlign w:val="baseline"/>
          <w:rtl w:val="0"/>
        </w:rPr>
        <w:t xml:space="preserve">555 555 555</w:t>
      </w:r>
      <w:r w:rsidDel="00000000" w:rsidR="00000000" w:rsidRPr="00000000">
        <w:rPr>
          <w:rFonts w:ascii="Fira Sans" w:cs="Fira Sans" w:eastAsia="Fira Sans" w:hAnsi="Fira Sans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Fira Sans" w:cs="Fira Sans" w:eastAsia="Fira Sans" w:hAnsi="Fira Sans"/>
          <w:sz w:val="20"/>
          <w:szCs w:val="20"/>
          <w:vertAlign w:val="baseline"/>
          <w:rtl w:val="0"/>
        </w:rPr>
        <w:t xml:space="preserve"> </w:t>
      </w:r>
      <w:r w:rsidDel="00000000" w:rsidR="00000000" w:rsidRPr="00000000">
        <w:rPr>
          <w:rFonts w:ascii="Arial Unicode MS" w:cs="Arial Unicode MS" w:eastAsia="Arial Unicode MS" w:hAnsi="Arial Unicode MS"/>
          <w:sz w:val="20"/>
          <w:szCs w:val="20"/>
          <w:vertAlign w:val="baseline"/>
          <w:rtl w:val="0"/>
        </w:rPr>
        <w:t xml:space="preserve">♦</w:t>
      </w:r>
      <w:r w:rsidDel="00000000" w:rsidR="00000000" w:rsidRPr="00000000">
        <w:rPr>
          <w:rFonts w:ascii="Fira Sans" w:cs="Fira Sans" w:eastAsia="Fira Sans" w:hAnsi="Fira Sans"/>
          <w:sz w:val="20"/>
          <w:szCs w:val="20"/>
          <w:vertAlign w:val="baseline"/>
          <w:rtl w:val="0"/>
        </w:rPr>
        <w:t xml:space="preserve"> </w:t>
      </w:r>
      <w:r w:rsidDel="00000000" w:rsidR="00000000" w:rsidRPr="00000000">
        <w:rPr>
          <w:rFonts w:ascii="Fira Sans" w:cs="Fira Sans" w:eastAsia="Fira Sans" w:hAnsi="Fira Sans"/>
          <w:sz w:val="20"/>
          <w:szCs w:val="20"/>
          <w:rtl w:val="0"/>
        </w:rPr>
        <w:t xml:space="preserve"> </w:t>
      </w:r>
      <w:r w:rsidDel="00000000" w:rsidR="00000000" w:rsidRPr="00000000">
        <w:rPr>
          <w:rFonts w:ascii="Fira Sans" w:cs="Fira Sans" w:eastAsia="Fira Sans" w:hAnsi="Fira Sans"/>
          <w:sz w:val="20"/>
          <w:szCs w:val="20"/>
          <w:vertAlign w:val="baseline"/>
          <w:rtl w:val="0"/>
        </w:rPr>
        <w:t xml:space="preserve">example@example.com</w:t>
      </w:r>
      <w:r w:rsidDel="00000000" w:rsidR="00000000" w:rsidRPr="00000000">
        <w:rPr>
          <w:rFonts w:ascii="Fira Sans" w:cs="Fira Sans" w:eastAsia="Fira Sans" w:hAnsi="Fira Sans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Fira Sans" w:cs="Fira Sans" w:eastAsia="Fira Sans" w:hAnsi="Fira Sans"/>
          <w:sz w:val="20"/>
          <w:szCs w:val="20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00" w:lineRule="auto"/>
        <w:ind w:left="0" w:right="0" w:firstLine="0"/>
        <w:jc w:val="center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tabs>
          <w:tab w:val="left" w:leader="none" w:pos="3891"/>
          <w:tab w:val="left" w:leader="none" w:pos="10560"/>
        </w:tabs>
        <w:spacing w:after="0" w:before="160" w:line="240" w:lineRule="auto"/>
        <w:ind w:left="0" w:right="0" w:firstLine="0"/>
        <w:jc w:val="center"/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016b5d"/>
          <w:sz w:val="26"/>
          <w:szCs w:val="26"/>
          <w:highlight w:val="white"/>
          <w:u w:val="none"/>
          <w:vertAlign w:val="baseline"/>
          <w:rtl w:val="0"/>
        </w:rPr>
        <w:t xml:space="preserve">   Summary Statement  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Effective defense attorney analyzes complex legal issues, formulates legal arguments and provides sound advice on a wide range of criminal defense topics. Adept at navigating legal systems, leveraging resources and communicating with clients. Thorough understanding of precedents and regulations. Works independently and collaboratively as part of a team.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tabs>
          <w:tab w:val="left" w:leader="none" w:pos="3975"/>
          <w:tab w:val="left" w:leader="none" w:pos="10560"/>
        </w:tabs>
        <w:spacing w:after="0" w:before="160" w:line="240" w:lineRule="auto"/>
        <w:ind w:left="0" w:right="0" w:firstLine="0"/>
        <w:jc w:val="center"/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016b5d"/>
          <w:sz w:val="26"/>
          <w:szCs w:val="26"/>
          <w:highlight w:val="white"/>
          <w:u w:val="none"/>
          <w:vertAlign w:val="baseline"/>
          <w:rtl w:val="0"/>
        </w:rPr>
        <w:t xml:space="preserve">   Core Qualifications  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tbl>
      <w:tblPr>
        <w:tblStyle w:val="Table1"/>
        <w:tblW w:w="10560.0" w:type="dxa"/>
        <w:jc w:val="left"/>
        <w:tblLayout w:type="fixed"/>
        <w:tblLook w:val="0400"/>
      </w:tblPr>
      <w:tblGrid>
        <w:gridCol w:w="5280"/>
        <w:gridCol w:w="5280"/>
        <w:tblGridChange w:id="0">
          <w:tblGrid>
            <w:gridCol w:w="5280"/>
            <w:gridCol w:w="5280"/>
          </w:tblGrid>
        </w:tblGridChange>
      </w:tblGrid>
      <w:tr>
        <w:trPr>
          <w:cantSplit w:val="0"/>
          <w:tblHeader w:val="0"/>
        </w:trPr>
        <w:tc>
          <w:tcPr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0"/>
              </w:numPr>
              <w:pBdr>
                <w:top w:color="000000" w:space="0" w:sz="0" w:val="none"/>
                <w:left w:color="000000" w:space="0" w:sz="0" w:val="none"/>
                <w:bottom w:color="000000" w:space="0" w:sz="0" w:val="none"/>
                <w:right w:color="00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460" w:right="0" w:hanging="201"/>
              <w:jc w:val="left"/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Case interpretation 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0"/>
              </w:numPr>
              <w:pBdr>
                <w:top w:color="000000" w:space="0" w:sz="0" w:val="none"/>
                <w:left w:color="000000" w:space="0" w:sz="0" w:val="none"/>
                <w:bottom w:color="000000" w:space="0" w:sz="0" w:val="none"/>
                <w:right w:color="00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460" w:right="0" w:hanging="201"/>
              <w:jc w:val="left"/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Calling witnesses </w:t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0"/>
              </w:numPr>
              <w:pBdr>
                <w:top w:color="000000" w:space="0" w:sz="0" w:val="none"/>
                <w:left w:color="000000" w:space="0" w:sz="0" w:val="none"/>
                <w:bottom w:color="000000" w:space="0" w:sz="0" w:val="none"/>
                <w:right w:color="00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460" w:right="0" w:hanging="201"/>
              <w:jc w:val="left"/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Criminal defense 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0"/>
              </w:numPr>
              <w:pBdr>
                <w:top w:color="000000" w:space="0" w:sz="0" w:val="none"/>
                <w:left w:color="000000" w:space="0" w:sz="0" w:val="none"/>
                <w:bottom w:color="000000" w:space="0" w:sz="0" w:val="none"/>
                <w:right w:color="00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460" w:right="0" w:hanging="201"/>
              <w:jc w:val="left"/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Oral debate </w:t>
            </w:r>
          </w:p>
        </w:tc>
        <w:tc>
          <w:tcPr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1"/>
              </w:numPr>
              <w:pBdr>
                <w:top w:color="000000" w:space="0" w:sz="0" w:val="none"/>
                <w:left w:color="000000" w:space="0" w:sz="0" w:val="none"/>
                <w:bottom w:color="000000" w:space="0" w:sz="0" w:val="none"/>
                <w:right w:color="00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460" w:right="0" w:hanging="201"/>
              <w:jc w:val="left"/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Researcher </w:t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1"/>
              </w:numPr>
              <w:pBdr>
                <w:top w:color="000000" w:space="0" w:sz="0" w:val="none"/>
                <w:left w:color="000000" w:space="0" w:sz="0" w:val="none"/>
                <w:bottom w:color="000000" w:space="0" w:sz="0" w:val="none"/>
                <w:right w:color="00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460" w:right="0" w:hanging="201"/>
              <w:jc w:val="left"/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Critical thinking 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1"/>
              </w:numPr>
              <w:pBdr>
                <w:top w:color="000000" w:space="0" w:sz="0" w:val="none"/>
                <w:left w:color="000000" w:space="0" w:sz="0" w:val="none"/>
                <w:bottom w:color="000000" w:space="0" w:sz="0" w:val="none"/>
                <w:right w:color="00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460" w:right="0" w:hanging="201"/>
              <w:jc w:val="left"/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Problem-solving </w:t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1"/>
              </w:numPr>
              <w:pBdr>
                <w:top w:color="000000" w:space="0" w:sz="0" w:val="none"/>
                <w:left w:color="000000" w:space="0" w:sz="0" w:val="none"/>
                <w:bottom w:color="000000" w:space="0" w:sz="0" w:val="none"/>
                <w:right w:color="00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460" w:right="0" w:hanging="201"/>
              <w:jc w:val="left"/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Fira Sans" w:cs="Fira Sans" w:eastAsia="Fira Sans" w:hAnsi="Fir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Communication </w:t>
            </w:r>
          </w:p>
        </w:tc>
      </w:tr>
    </w:tbl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tabs>
          <w:tab w:val="left" w:leader="none" w:pos="4532"/>
          <w:tab w:val="left" w:leader="none" w:pos="10560"/>
        </w:tabs>
        <w:spacing w:after="0" w:before="160" w:line="240" w:lineRule="auto"/>
        <w:ind w:left="0" w:right="0" w:firstLine="0"/>
        <w:jc w:val="center"/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016b5d"/>
          <w:sz w:val="26"/>
          <w:szCs w:val="26"/>
          <w:highlight w:val="white"/>
          <w:u w:val="none"/>
          <w:vertAlign w:val="baseline"/>
          <w:rtl w:val="0"/>
        </w:rPr>
        <w:t xml:space="preserve">   Education  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J</w:t>
      </w:r>
      <w:r w:rsidDel="00000000" w:rsidR="00000000" w:rsidRPr="00000000">
        <w:rPr>
          <w:rFonts w:ascii="Fira Sans" w:cs="Fira Sans" w:eastAsia="Fira Sans" w:hAnsi="Fira Sans"/>
          <w:b w:val="1"/>
          <w:sz w:val="22"/>
          <w:szCs w:val="22"/>
          <w:rtl w:val="0"/>
        </w:rPr>
        <w:t xml:space="preserve">uris </w:t>
      </w:r>
      <w:r w:rsidDel="00000000" w:rsidR="00000000" w:rsidRPr="00000000">
        <w:rPr>
          <w:rFonts w:ascii="Fira Sans" w:cs="Fira Sans" w:eastAsia="Fira Sans" w:hAnsi="Fira Sans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Doctor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Law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Georgia State University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- Atlanta, GA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16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Bachelor of Science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Criminal Justice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Georgia State University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- Atlanta, GA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Minor - Law and Society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tabs>
          <w:tab w:val="left" w:leader="none" w:pos="4117"/>
          <w:tab w:val="left" w:leader="none" w:pos="10560"/>
        </w:tabs>
        <w:spacing w:after="0" w:before="160" w:line="240" w:lineRule="auto"/>
        <w:ind w:left="0" w:right="0" w:firstLine="0"/>
        <w:jc w:val="center"/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016b5d"/>
          <w:sz w:val="26"/>
          <w:szCs w:val="26"/>
          <w:highlight w:val="white"/>
          <w:u w:val="none"/>
          <w:vertAlign w:val="baseline"/>
          <w:rtl w:val="0"/>
        </w:rPr>
        <w:t xml:space="preserve">   Work Experience  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Defense Attorney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10/2017 - Current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Rowan Law, PC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Atlanta, GA 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Maintain relationships with investigators by collecting facts and evidence, obtaining documents by subpoena and negotiating with prosecutors, probation officers and victims.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Advise clients and prepare and attend revocation hearings, bail bond hearings, trials, plea bargains, appeals and post-conviction programs. 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Work an average of 25 cases per year from petty theft to gang-related felonies for private, paid clients and indigent citizens with a success rate of 90%.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16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Associate Defense Attorney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08/2014 - 09/2017 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BCG Attorney Search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Atlanta, GA 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Worked on 18 cases and supported the lead defense attorney in criminal defense proceedings and appeals in state and federal courts. 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Crafted legal instruments for the team of attorneys and prepared for trials using interviews, presentations and jury selection. 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Analyzed probable outcomes of cases using knowledge of legal precedents. 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16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Defense Legal Assistant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06/2011 - 08/2014 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GPAC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Atlanta, GA 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Conducted background investigations on the defendant.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Attended over 100 court hearings and depositions to take notes and document proceedings.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Completed electronic filings, initiated monthly billing statements and managed firm administrative matters.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tabs>
          <w:tab w:val="left" w:leader="none" w:pos="3835"/>
          <w:tab w:val="left" w:leader="none" w:pos="10560"/>
        </w:tabs>
        <w:spacing w:after="0" w:before="160" w:line="240" w:lineRule="auto"/>
        <w:ind w:left="0" w:right="0" w:firstLine="0"/>
        <w:jc w:val="center"/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016b5d"/>
          <w:sz w:val="26"/>
          <w:szCs w:val="26"/>
          <w:highlight w:val="white"/>
          <w:u w:val="none"/>
          <w:vertAlign w:val="baseline"/>
          <w:rtl w:val="0"/>
        </w:rPr>
        <w:t xml:space="preserve">   Volunteer Experience  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Prepared pleadings, pretrial motions and ex parte applications with supporting </w:t>
      </w:r>
      <w:r w:rsidDel="00000000" w:rsidR="00000000" w:rsidRPr="00000000">
        <w:rPr>
          <w:rFonts w:ascii="Fira Sans" w:cs="Fira Sans" w:eastAsia="Fira Sans" w:hAnsi="Fira Sans"/>
          <w:sz w:val="22"/>
          <w:szCs w:val="22"/>
          <w:rtl w:val="0"/>
        </w:rPr>
        <w:t xml:space="preserve">memorandum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in 10 pro bono cases. (2022) 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Completed general labor tasks such as loading and unloading materials and cleaning up job sites. – Covenant House Georgia (2021) 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Collaborated in over 20 community projects and activities, demonstrating an ability to work collaboratively and effectively. – Hands of Atlanta (2017) 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Provided administrative support and </w:t>
      </w:r>
      <w:r w:rsidDel="00000000" w:rsidR="00000000" w:rsidRPr="00000000">
        <w:rPr>
          <w:rFonts w:ascii="Fira Sans" w:cs="Fira Sans" w:eastAsia="Fira Sans" w:hAnsi="Fira Sans"/>
          <w:sz w:val="22"/>
          <w:szCs w:val="22"/>
          <w:rtl w:val="0"/>
        </w:rPr>
        <w:t xml:space="preserve">managed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the volunteer calendar for 25 volunteers. - Atlanta Community Food Bank (2016) 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Worked closely with students on specific class struggles, closely reviewing materials and assignments to offer targeted help. - Varsity Tutors - (2015) 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tabs>
          <w:tab w:val="left" w:leader="none" w:pos="3710"/>
          <w:tab w:val="left" w:leader="none" w:pos="10560"/>
        </w:tabs>
        <w:spacing w:after="0" w:before="160" w:line="240" w:lineRule="auto"/>
        <w:ind w:left="0" w:right="0" w:firstLine="0"/>
        <w:jc w:val="center"/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016b5d"/>
          <w:sz w:val="26"/>
          <w:szCs w:val="26"/>
          <w:highlight w:val="white"/>
          <w:u w:val="none"/>
          <w:vertAlign w:val="baseline"/>
          <w:rtl w:val="0"/>
        </w:rPr>
        <w:t xml:space="preserve">   Conference Attendance  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GACDL 2023 Spring Seminar, Jekyll Island, GA - (2023)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EPIC Conference 2022, Emory University School of Law - (2022)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Legal Week, New York, NY - (2022)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2021 ATLC Conference - (2021)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tabs>
          <w:tab w:val="left" w:leader="none" w:pos="2549"/>
          <w:tab w:val="left" w:leader="none" w:pos="10560"/>
        </w:tabs>
        <w:spacing w:after="0" w:before="160" w:line="240" w:lineRule="auto"/>
        <w:ind w:left="0" w:right="0" w:firstLine="0"/>
        <w:jc w:val="center"/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016b5d"/>
          <w:sz w:val="26"/>
          <w:szCs w:val="26"/>
          <w:highlight w:val="white"/>
          <w:u w:val="none"/>
          <w:vertAlign w:val="baseline"/>
          <w:rtl w:val="0"/>
        </w:rPr>
        <w:t xml:space="preserve">   Professional Affiliations and Memberships  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Georgia Association of Criminal Defense Lawyers (GACDL) - (2022) 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Georgia Defense </w:t>
      </w:r>
      <w:r w:rsidDel="00000000" w:rsidR="00000000" w:rsidRPr="00000000">
        <w:rPr>
          <w:rFonts w:ascii="Fira Sans" w:cs="Fira Sans" w:eastAsia="Fira Sans" w:hAnsi="Fira Sans"/>
          <w:sz w:val="22"/>
          <w:szCs w:val="22"/>
          <w:rtl w:val="0"/>
        </w:rPr>
        <w:t xml:space="preserve">Lawyers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Association (GDLA) - (2021) 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The American Law Institute - (2019) 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American Bar Association (ABA) - (2019) 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Atlanta Bar Association - (2018) 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tabs>
          <w:tab w:val="left" w:leader="none" w:pos="3496"/>
          <w:tab w:val="left" w:leader="none" w:pos="10560"/>
        </w:tabs>
        <w:spacing w:after="0" w:before="160" w:line="240" w:lineRule="auto"/>
        <w:ind w:left="0" w:right="0" w:firstLine="0"/>
        <w:jc w:val="center"/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016b5d"/>
          <w:sz w:val="26"/>
          <w:szCs w:val="26"/>
          <w:highlight w:val="white"/>
          <w:u w:val="none"/>
          <w:vertAlign w:val="baseline"/>
          <w:rtl w:val="0"/>
        </w:rPr>
        <w:t xml:space="preserve">   Certifications and Licenses  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Georgia Attorney Licensure, Georgia State Bar - (Updated 2023)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General Criminal Justice Professional - (2013)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Certification of Fitness to Practice Law - (2012)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tabs>
          <w:tab w:val="left" w:leader="none" w:pos="4639"/>
          <w:tab w:val="left" w:leader="none" w:pos="10560"/>
        </w:tabs>
        <w:spacing w:after="0" w:before="160" w:line="240" w:lineRule="auto"/>
        <w:ind w:left="0" w:right="0" w:firstLine="0"/>
        <w:jc w:val="center"/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016b5d"/>
          <w:sz w:val="26"/>
          <w:szCs w:val="26"/>
          <w:highlight w:val="white"/>
          <w:u w:val="none"/>
          <w:vertAlign w:val="baseline"/>
          <w:rtl w:val="0"/>
        </w:rPr>
        <w:t xml:space="preserve">   Training  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numPr>
          <w:ilvl w:val="0"/>
          <w:numId w:val="9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Ethical and Practical Risks of Using Technology: What You and Your Clients Need to Know, LexisNexis -(2023)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numPr>
          <w:ilvl w:val="0"/>
          <w:numId w:val="9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Diversity Equity and Inclusion: What Attorneys Need to Know and Tips to Improve Their Practice, LexisNexis - (2023)</w:t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numPr>
          <w:ilvl w:val="0"/>
          <w:numId w:val="9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Georgia Lawyers Continuing Legal Education - (2022)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numPr>
          <w:ilvl w:val="0"/>
          <w:numId w:val="9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APACC Human Traffic Investigation and Prosecution Training, APAC - (2022)</w:t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numPr>
          <w:ilvl w:val="0"/>
          <w:numId w:val="9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Computers and the Law, Center for Advanced Legal Studies - (2021)</w: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numPr>
          <w:ilvl w:val="0"/>
          <w:numId w:val="9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U.S. Political Institutions: Congress, Presidency, Courts and Bureaucracy, online Harvard University - (2019)</w:t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numPr>
          <w:ilvl w:val="0"/>
          <w:numId w:val="9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Ethics and Law Enforcement - (2017)</w:t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numPr>
          <w:ilvl w:val="0"/>
          <w:numId w:val="9"/>
        </w:num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460" w:right="0" w:hanging="201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Interviewing and Investigation, Center for Advanced Legal Studies - (2017)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tabs>
          <w:tab w:val="left" w:leader="none" w:pos="3793"/>
          <w:tab w:val="left" w:leader="none" w:pos="10560"/>
        </w:tabs>
        <w:spacing w:after="0" w:before="160" w:line="240" w:lineRule="auto"/>
        <w:ind w:left="0" w:right="0" w:firstLine="0"/>
        <w:jc w:val="center"/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3399cc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Fira Sans" w:cs="Fira Sans" w:eastAsia="Fira Sans" w:hAnsi="Fira Sans"/>
          <w:b w:val="1"/>
          <w:i w:val="0"/>
          <w:smallCaps w:val="1"/>
          <w:strike w:val="0"/>
          <w:color w:val="016b5d"/>
          <w:sz w:val="26"/>
          <w:szCs w:val="26"/>
          <w:highlight w:val="white"/>
          <w:u w:val="none"/>
          <w:vertAlign w:val="baseline"/>
          <w:rtl w:val="0"/>
        </w:rPr>
        <w:t xml:space="preserve">   Hobbies and Interests   </w:t>
      </w: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1"/>
          <w:color w:val="016b5d"/>
          <w:sz w:val="26"/>
          <w:szCs w:val="26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Fira Sans" w:cs="Fira Sans" w:eastAsia="Fira Sans" w:hAnsi="Fira Sans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 my spare time, I enjoy photography and often provide my services free of charge to families who could not afford family portraits otherwise. I also like to take pictures of nature and spend time outdoors.</w:t>
      </w:r>
    </w:p>
    <w:sectPr>
      <w:pgSz w:h="15840" w:w="12240" w:orient="portrait"/>
      <w:pgMar w:bottom="520" w:top="520" w:left="840" w:right="8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Times New Roman"/>
  <w:font w:name="Georgia"/>
  <w:font w:name="Arial Unicode MS"/>
  <w:font w:name="Courier New"/>
  <w:font w:name="Fira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Quattrocento Sans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  <w:font w:name="Noto Sans Symbols">
    <w:embedRegular w:fontKey="{00000000-0000-0000-0000-000000000000}" r:id="rId9" w:subsetted="0"/>
    <w:embedBold w:fontKey="{00000000-0000-0000-0000-000000000000}" r:id="rId10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9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10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1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</w:pBdr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</w:pBdr>
      <w:spacing w:after="0" w:before="240" w:lineRule="auto"/>
    </w:pPr>
    <w:rPr>
      <w:rFonts w:ascii="Times New Roman" w:cs="Times New Roman" w:eastAsia="Times New Roman" w:hAnsi="Times New Roman"/>
      <w:b w:val="1"/>
      <w:i w:val="0"/>
      <w:color w:val="2f5496"/>
      <w:sz w:val="24"/>
      <w:szCs w:val="24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</w:pBdr>
      <w:spacing w:after="0" w:before="40" w:lineRule="auto"/>
    </w:pPr>
    <w:rPr>
      <w:rFonts w:ascii="Times New Roman" w:cs="Times New Roman" w:eastAsia="Times New Roman" w:hAnsi="Times New Roman"/>
      <w:b w:val="1"/>
      <w:i w:val="0"/>
      <w:color w:val="2f5496"/>
      <w:sz w:val="24"/>
      <w:szCs w:val="24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</w:pBdr>
      <w:spacing w:after="0" w:before="40" w:lineRule="auto"/>
    </w:pPr>
    <w:rPr>
      <w:rFonts w:ascii="Times New Roman" w:cs="Times New Roman" w:eastAsia="Times New Roman" w:hAnsi="Times New Roman"/>
      <w:b w:val="1"/>
      <w:i w:val="0"/>
      <w:color w:val="1f3763"/>
      <w:sz w:val="24"/>
      <w:szCs w:val="24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</w:pBdr>
      <w:spacing w:after="0" w:before="40" w:lineRule="auto"/>
    </w:pPr>
    <w:rPr>
      <w:rFonts w:ascii="Times New Roman" w:cs="Times New Roman" w:eastAsia="Times New Roman" w:hAnsi="Times New Roman"/>
      <w:b w:val="1"/>
      <w:i w:val="0"/>
      <w:color w:val="2f5496"/>
      <w:sz w:val="24"/>
      <w:szCs w:val="24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</w:pBdr>
      <w:spacing w:after="0" w:before="40" w:lineRule="auto"/>
    </w:pPr>
    <w:rPr>
      <w:rFonts w:ascii="Times New Roman" w:cs="Times New Roman" w:eastAsia="Times New Roman" w:hAnsi="Times New Roman"/>
      <w:b w:val="1"/>
      <w:i w:val="0"/>
      <w:color w:val="2f5496"/>
      <w:sz w:val="24"/>
      <w:szCs w:val="24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</w:pBdr>
      <w:spacing w:after="0" w:before="40" w:lineRule="auto"/>
    </w:pPr>
    <w:rPr>
      <w:rFonts w:ascii="Times New Roman" w:cs="Times New Roman" w:eastAsia="Times New Roman" w:hAnsi="Times New Roman"/>
      <w:b w:val="1"/>
      <w:i w:val="0"/>
      <w:color w:val="1f3763"/>
      <w:sz w:val="24"/>
      <w:szCs w:val="24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FiraSans-regular.ttf"/><Relationship Id="rId2" Type="http://schemas.openxmlformats.org/officeDocument/2006/relationships/font" Target="fonts/FiraSans-bold.ttf"/><Relationship Id="rId3" Type="http://schemas.openxmlformats.org/officeDocument/2006/relationships/font" Target="fonts/FiraSans-italic.ttf"/><Relationship Id="rId4" Type="http://schemas.openxmlformats.org/officeDocument/2006/relationships/font" Target="fonts/FiraSans-boldItalic.ttf"/><Relationship Id="rId10" Type="http://schemas.openxmlformats.org/officeDocument/2006/relationships/font" Target="fonts/NotoSansSymbols-bold.ttf"/><Relationship Id="rId9" Type="http://schemas.openxmlformats.org/officeDocument/2006/relationships/font" Target="fonts/NotoSansSymbols-regular.ttf"/><Relationship Id="rId5" Type="http://schemas.openxmlformats.org/officeDocument/2006/relationships/font" Target="fonts/QuattrocentoSans-regular.ttf"/><Relationship Id="rId6" Type="http://schemas.openxmlformats.org/officeDocument/2006/relationships/font" Target="fonts/QuattrocentoSans-bold.ttf"/><Relationship Id="rId7" Type="http://schemas.openxmlformats.org/officeDocument/2006/relationships/font" Target="fonts/QuattrocentoSans-italic.ttf"/><Relationship Id="rId8" Type="http://schemas.openxmlformats.org/officeDocument/2006/relationships/font" Target="fonts/QuattrocentoSa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